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2" w:rsidRDefault="00441512" w:rsidP="00441512">
      <w:pPr>
        <w:pStyle w:val="Nadpis3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>
        <w:t>Dopravní nehody - Dopravní nehodovost v Praze v roce 2006 - Celkový vývoj dopravní nehodovosti v roce 2006</w:t>
      </w:r>
    </w:p>
    <w:p w:rsidR="00441512" w:rsidRDefault="00441512" w:rsidP="00441512">
      <w:pPr>
        <w:pStyle w:val="Normlnweb"/>
      </w:pPr>
      <w:r>
        <w:t>Celkový vývoj dopravní nehodovosti v roce 2006</w:t>
      </w:r>
    </w:p>
    <w:p w:rsidR="00441512" w:rsidRDefault="00441512" w:rsidP="00441512">
      <w:pPr>
        <w:pStyle w:val="Normlnweb"/>
      </w:pPr>
      <w:r>
        <w:t xml:space="preserve">Bezpečnost dopravy je vážným dopravním i společenským problémem, který nabývá na důležitosti se vzrůstající motorizací i intenzitou automobilové dopravy. Ústav dopravního inženýrství hlavního města Prahy (ÚDI) se jako specializovaná dopravně inženýrská organizace zabývá dopravní nehodovostí v Praze především z hlediska vlivu komunikace a dopravních poměrů na příčiny, výskyt a četnost dopravních nehod, </w:t>
      </w:r>
      <w:r>
        <w:t>a to ve dvou základních směrech</w:t>
      </w:r>
      <w:r>
        <w:t>:</w:t>
      </w:r>
    </w:p>
    <w:p w:rsidR="00441512" w:rsidRDefault="00441512" w:rsidP="00441512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analýza celkového vývoje dopravní nehodovosti, jejích příčin a trendů</w:t>
      </w:r>
    </w:p>
    <w:p w:rsidR="00441512" w:rsidRDefault="00441512" w:rsidP="00441512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zjišťování výrazně nehodových míst (s vysokou kumulací dopravních nehod), analýza dopravních nehod na nich a navrhování konkrétních dopravně inženýrských opatření, která by měla napomoci vznik nehod na daných místech snížit.</w:t>
      </w:r>
    </w:p>
    <w:p w:rsidR="00441512" w:rsidRDefault="00441512" w:rsidP="00441512">
      <w:pPr>
        <w:pStyle w:val="Normlnweb"/>
      </w:pPr>
      <w:r>
        <w:t>Veškerá data o dopravních nehodách jako podklad pro další práci přebírá ÚDI z oficiálních statistických údajů Policejního prezidia ČR.</w:t>
      </w:r>
    </w:p>
    <w:p w:rsidR="00441512" w:rsidRDefault="00441512" w:rsidP="00441512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 xml:space="preserve">Základní trend nehodovosti v roce 2006 : </w:t>
      </w:r>
      <w:r>
        <w:t>mírný nárůst počtu nehod ve srovnání s předcházejícím rokem, pokles počtu usmrcených osob, pokles počtu těžce i lehce zraněných osob, výrazný úbytek počtu nehod se zraněním a nárůst nehod pouze s hmotnou škodou.</w:t>
      </w:r>
    </w:p>
    <w:p w:rsidR="00441512" w:rsidRDefault="00441512" w:rsidP="00441512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 xml:space="preserve">V roce 2006 došlo v Praze k 34 689 nehodám </w:t>
      </w:r>
      <w:r>
        <w:t>(+ 4 % oproti roku 2005), 56 osob bylo usmrceno (-</w:t>
      </w:r>
      <w:r>
        <w:t xml:space="preserve"> 8 %) a 2 404 osob bylo </w:t>
      </w:r>
      <w:proofErr w:type="gramStart"/>
      <w:r>
        <w:t xml:space="preserve">zraněno </w:t>
      </w:r>
      <w:r>
        <w:t>( -20</w:t>
      </w:r>
      <w:proofErr w:type="gramEnd"/>
      <w:r>
        <w:t> %).</w:t>
      </w:r>
    </w:p>
    <w:p w:rsidR="00441512" w:rsidRDefault="00441512" w:rsidP="00441512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>S účastí chodců došlo k 649 nehodám</w:t>
      </w:r>
      <w:r>
        <w:t xml:space="preserve"> (- 13 %), 25 osob bylo usmrceno (- 29 %) a 629 osob bylo zraněno (- 12 %). </w:t>
      </w:r>
      <w:r>
        <w:rPr>
          <w:rStyle w:val="Siln"/>
          <w:u w:val="single"/>
        </w:rPr>
        <w:t>Chodci sami zavinili 328 nehod</w:t>
      </w:r>
      <w:r>
        <w:t xml:space="preserve"> (- 7 %), přičemž bylo usmrceno 12 osob (- 29 %) a 300 osob bylo zraněno (- 9 %).</w:t>
      </w:r>
    </w:p>
    <w:p w:rsidR="00441512" w:rsidRDefault="00441512" w:rsidP="00441512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 xml:space="preserve">Rozhodující podíl nehod zavinili řidiči </w:t>
      </w:r>
      <w:r>
        <w:t xml:space="preserve">(33 759 z 34 689 nehod, </w:t>
      </w:r>
      <w:proofErr w:type="gramStart"/>
      <w:r>
        <w:t>t.j. 97</w:t>
      </w:r>
      <w:proofErr w:type="gramEnd"/>
      <w:r>
        <w:t xml:space="preserve"> %). Hlavními příčinami nehod zaviněných řidiči jsou nesprávný způsob jízdy a nedání přednosti v jízdě.</w:t>
      </w:r>
    </w:p>
    <w:p w:rsidR="00441512" w:rsidRDefault="00441512" w:rsidP="00441512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>Počet nehod, při kterých byl u viníka zjištěn alkohol, byl 556</w:t>
      </w:r>
      <w:r>
        <w:t xml:space="preserve"> (- 26 %). Oproti roku 2005 poklesl počet viníků řidičů (- 27 %), ale stoupl počet viníků chodců (+ 18 %).</w:t>
      </w:r>
    </w:p>
    <w:p w:rsidR="00441512" w:rsidRDefault="00441512" w:rsidP="00441512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Style w:val="Siln"/>
          <w:u w:val="single"/>
        </w:rPr>
        <w:t>Počet nehod zapříčiněných překročením dovolené rychlosti</w:t>
      </w:r>
      <w:r>
        <w:t xml:space="preserve"> se snížil ze 140 v roce 2005 na 85 v roce 2006, tj. o </w:t>
      </w:r>
      <w:proofErr w:type="gramStart"/>
      <w:r>
        <w:t>39 %.</w:t>
      </w:r>
      <w:r>
        <w:rPr>
          <w:rStyle w:val="Siln"/>
          <w:u w:val="single"/>
        </w:rPr>
        <w:t>K tomu</w:t>
      </w:r>
      <w:proofErr w:type="gramEnd"/>
      <w:r>
        <w:rPr>
          <w:rStyle w:val="Siln"/>
          <w:u w:val="single"/>
        </w:rPr>
        <w:t xml:space="preserve"> je třeba uvést, že nehody zapříčiněné překročením dovolené rychlosti tvoří z celkového počtu dopravních nehod v Praze jen velmi malý podíl</w:t>
      </w:r>
      <w:r>
        <w:t xml:space="preserve"> - v roce 2006 pouze 0,2 %, tzn. pouze 1 nehoda z 500.</w:t>
      </w:r>
    </w:p>
    <w:p w:rsidR="00441512" w:rsidRDefault="00441512" w:rsidP="00441512">
      <w:pPr>
        <w:pStyle w:val="Normlnweb"/>
        <w:numPr>
          <w:ilvl w:val="0"/>
          <w:numId w:val="27"/>
        </w:numPr>
      </w:pPr>
      <w:r>
        <w:t>V roce 2006 se snížil počet nehod na sledované síti (- 1 %), ale výrazně se zvýšil počet nehod na nesledované síti (+ 20 %); na účelových komunikacích se počet nehod nepatrně snížil (- 2 %).</w:t>
      </w:r>
    </w:p>
    <w:p w:rsidR="00441512" w:rsidRDefault="00441512" w:rsidP="00441512">
      <w:pPr>
        <w:pStyle w:val="Normlnweb"/>
        <w:ind w:left="720"/>
      </w:pPr>
      <w:r>
        <w:t> </w:t>
      </w:r>
    </w:p>
    <w:p w:rsidR="00441512" w:rsidRDefault="00441512" w:rsidP="00441512">
      <w:pPr>
        <w:pStyle w:val="Normlnweb"/>
        <w:numPr>
          <w:ilvl w:val="0"/>
          <w:numId w:val="27"/>
        </w:numPr>
      </w:pPr>
      <w:r>
        <w:rPr>
          <w:rStyle w:val="Siln"/>
          <w:u w:val="single"/>
        </w:rPr>
        <w:t>Dopravní nehodovost a změna zákona o provozu na pozemních komunikacích od července 2006:</w:t>
      </w:r>
      <w:r>
        <w:t xml:space="preserve">od 1. 7. 2006 nabyla účinnosti novelizace zákona č. 361/2000 Sb. o provozu na pozemních komunikacích, spolu se zavedením tzv. bodového systému k vybraným dopravním přestupkům. Podle této novelizace platí od července 2006 povinnost nahlašovat policii pouze ty dopravní nehody, při nichž došlo ke zranění nebo k hmotné škodě zřejmě převyšující částku 50 000 Kč, zatímco do konce června </w:t>
      </w:r>
      <w:r>
        <w:lastRenderedPageBreak/>
        <w:t>2006 platila povinnost nahlašovat policii ty nehody, při nichž došlo ke zranění nebo k hmotné škodě zřejmě převyšující částku 20 000 Kč.</w:t>
      </w:r>
      <w:r>
        <w:br/>
        <w:t>Změna pravidel pro nahlašování dopravních nehod se ve srovnání s druhým pololetím 2005 (evidováno 17 396 nehod) odrazila v poklesu evidovaných dopravních nehod v Praze o 13 % ve druhém pololetí 2006 (evidováno 15 110 nehod).</w:t>
      </w:r>
      <w:r>
        <w:br/>
        <w:t>Počet zranění při dopravních nehodách ve druhém pololetí 2006 se v porovnání s druhým pololetím předcházejícího roku snížil o 20 % (z evidovaných 1523 zranění ve druhém pololetí 2005 na 1215 zranění ve druhém pololetí 2006).</w:t>
      </w:r>
    </w:p>
    <w:p w:rsidR="00441512" w:rsidRDefault="00441512" w:rsidP="00441512">
      <w:pPr>
        <w:pStyle w:val="Normlnweb"/>
        <w:ind w:left="720"/>
      </w:pPr>
      <w:r>
        <w:t> </w:t>
      </w:r>
    </w:p>
    <w:p w:rsidR="00441512" w:rsidRDefault="00441512" w:rsidP="00441512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Vzhledem k počasí v roce 2006 poklesl počet nehod za mokra (- 9 %) a z toho podstatně výrazněji poklesl počet nehod na sněhu a náledí (- 36 %). Nehody za mokra jsou závislé na počasí:</w:t>
      </w:r>
    </w:p>
    <w:p w:rsidR="00441512" w:rsidRDefault="00441512" w:rsidP="00441512">
      <w:pPr>
        <w:pStyle w:val="Normlnweb"/>
      </w:pPr>
      <w:r>
        <w:t> </w:t>
      </w:r>
    </w:p>
    <w:p w:rsidR="00441512" w:rsidRDefault="00441512" w:rsidP="00441512">
      <w:pPr>
        <w:pStyle w:val="Normlnweb"/>
      </w:pPr>
      <w:r>
        <w:rPr>
          <w:noProof/>
        </w:rPr>
        <w:drawing>
          <wp:inline distT="0" distB="0" distL="0" distR="0">
            <wp:extent cx="5949950" cy="876300"/>
            <wp:effectExtent l="0" t="0" r="0" b="0"/>
            <wp:docPr id="14" name="Obrázek 14" descr="http://www.tsk-praha.cz/wps/wcm/connect/3e8fa080445299b792b8bb18189c0fa9/1/image5303815763368837013.jpg?MOD=AJPERES&amp;CACHEID=3e8fa080445299b792b8bb18189c0fa9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k-praha.cz/wps/wcm/connect/3e8fa080445299b792b8bb18189c0fa9/1/image5303815763368837013.jpg?MOD=AJPERES&amp;CACHEID=3e8fa080445299b792b8bb18189c0fa9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2" w:rsidRDefault="00441512" w:rsidP="00441512">
      <w:pPr>
        <w:pStyle w:val="Normlnweb"/>
      </w:pPr>
      <w:r>
        <w:t>Uvedená čísla potvrzují obecně známou skutečnost, že míra nehodového rizika za mokra je vyšší než za sucha (všeobecně snížená adheze - i na vozovkách s kvalitním protismykovým krytem, menší pozornost řidičů, horší výhled z vozidla - stěrače, mokré přední sklo), a že se tudíž průběh počasí může podílet na četnosti výskytu nehod v daném období.</w:t>
      </w:r>
    </w:p>
    <w:p w:rsidR="00441512" w:rsidRDefault="00441512" w:rsidP="00441512">
      <w:pPr>
        <w:pStyle w:val="Normlnweb"/>
      </w:pPr>
      <w:r>
        <w:t> </w:t>
      </w:r>
    </w:p>
    <w:p w:rsidR="00441512" w:rsidRDefault="00441512" w:rsidP="00441512">
      <w:pPr>
        <w:pStyle w:val="Normlnweb"/>
      </w:pPr>
      <w:r>
        <w:t>Tab. 1. Nehody a následky na zdraví celkem</w:t>
      </w:r>
    </w:p>
    <w:p w:rsidR="00441512" w:rsidRDefault="00441512" w:rsidP="00441512">
      <w:pPr>
        <w:pStyle w:val="Normlnweb"/>
      </w:pPr>
      <w:r>
        <w:rPr>
          <w:noProof/>
        </w:rPr>
        <w:drawing>
          <wp:inline distT="0" distB="0" distL="0" distR="0">
            <wp:extent cx="5829300" cy="2076450"/>
            <wp:effectExtent l="0" t="0" r="0" b="0"/>
            <wp:docPr id="13" name="Obrázek 13" descr="http://www.tsk-praha.cz/wps/wcm/connect/3e8fa080445299b792b8bb18189c0fa9/2/image6127303362047065838.jpg?MOD=AJPERES&amp;CACHEID=3e8fa080445299b792b8bb18189c0fa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k-praha.cz/wps/wcm/connect/3e8fa080445299b792b8bb18189c0fa9/2/image6127303362047065838.jpg?MOD=AJPERES&amp;CACHEID=3e8fa080445299b792b8bb18189c0fa9/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2" w:rsidRDefault="00441512" w:rsidP="00441512">
      <w:pPr>
        <w:pStyle w:val="Normlnweb"/>
      </w:pPr>
      <w:r>
        <w:t>SZ = smrtelná zranění</w:t>
      </w:r>
      <w:r>
        <w:br/>
        <w:t>TZ = těžká zranění</w:t>
      </w:r>
      <w:r>
        <w:br/>
        <w:t>LZ = lehká zranění</w:t>
      </w:r>
    </w:p>
    <w:p w:rsidR="00441512" w:rsidRDefault="00441512" w:rsidP="00441512">
      <w:pPr>
        <w:pStyle w:val="Normlnweb"/>
      </w:pPr>
      <w:r>
        <w:lastRenderedPageBreak/>
        <w:t> </w:t>
      </w:r>
    </w:p>
    <w:p w:rsidR="00441512" w:rsidRDefault="00441512" w:rsidP="00441512">
      <w:pPr>
        <w:pStyle w:val="Normlnweb"/>
      </w:pPr>
      <w:r>
        <w:t>Tab. 2. Hlavní příčiny nehod</w:t>
      </w:r>
    </w:p>
    <w:p w:rsidR="00441512" w:rsidRDefault="00441512" w:rsidP="00441512">
      <w:pPr>
        <w:pStyle w:val="Normlnweb"/>
      </w:pPr>
      <w:r>
        <w:rPr>
          <w:noProof/>
        </w:rPr>
        <w:drawing>
          <wp:inline distT="0" distB="0" distL="0" distR="0">
            <wp:extent cx="5734050" cy="2628900"/>
            <wp:effectExtent l="0" t="0" r="0" b="0"/>
            <wp:docPr id="12" name="Obrázek 12" descr="http://www.tsk-praha.cz/wps/wcm/connect/3e8fa080445299b792b8bb18189c0fa9/3/image1989588842724291598.jpg?MOD=AJPERES&amp;CACHEID=3e8fa080445299b792b8bb18189c0fa9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sk-praha.cz/wps/wcm/connect/3e8fa080445299b792b8bb18189c0fa9/3/image1989588842724291598.jpg?MOD=AJPERES&amp;CACHEID=3e8fa080445299b792b8bb18189c0fa9/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2" w:rsidRDefault="00441512" w:rsidP="00441512">
      <w:pPr>
        <w:pStyle w:val="Normlnweb"/>
      </w:pPr>
      <w:r>
        <w:t>Tab. 3. Nehody chodců</w:t>
      </w:r>
    </w:p>
    <w:p w:rsidR="00441512" w:rsidRDefault="00441512" w:rsidP="00441512">
      <w:pPr>
        <w:pStyle w:val="Normlnweb"/>
      </w:pPr>
      <w:r>
        <w:rPr>
          <w:noProof/>
        </w:rPr>
        <w:drawing>
          <wp:inline distT="0" distB="0" distL="0" distR="0">
            <wp:extent cx="5772150" cy="3143250"/>
            <wp:effectExtent l="0" t="0" r="0" b="0"/>
            <wp:docPr id="11" name="Obrázek 11" descr="http://www.tsk-praha.cz/wps/wcm/connect/3e8fa080445299b792b8bb18189c0fa9/4/image3072957851583779426.jpg?MOD=AJPERES&amp;CACHEID=3e8fa080445299b792b8bb18189c0fa9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sk-praha.cz/wps/wcm/connect/3e8fa080445299b792b8bb18189c0fa9/4/image3072957851583779426.jpg?MOD=AJPERES&amp;CACHEID=3e8fa080445299b792b8bb18189c0fa9/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2" w:rsidRDefault="00441512" w:rsidP="00441512">
      <w:pPr>
        <w:pStyle w:val="Normlnweb"/>
      </w:pPr>
      <w:r>
        <w:t>SZ = smrtelná zranění</w:t>
      </w:r>
      <w:r>
        <w:br/>
        <w:t>TZ = těžká zranění</w:t>
      </w:r>
      <w:r>
        <w:br/>
        <w:t>LZ = lehká zranění</w:t>
      </w:r>
    </w:p>
    <w:p w:rsidR="00441512" w:rsidRDefault="00441512" w:rsidP="00441512">
      <w:pPr>
        <w:pStyle w:val="Normlnweb"/>
      </w:pPr>
      <w:r>
        <w:t> </w:t>
      </w:r>
      <w:bookmarkStart w:id="0" w:name="_GoBack"/>
      <w:bookmarkEnd w:id="0"/>
    </w:p>
    <w:p w:rsidR="00441512" w:rsidRDefault="00441512" w:rsidP="00441512">
      <w:pPr>
        <w:pStyle w:val="Normlnweb"/>
      </w:pPr>
      <w:r>
        <w:lastRenderedPageBreak/>
        <w:t>Tab. 4. Nehody cyklistů</w:t>
      </w:r>
    </w:p>
    <w:p w:rsidR="00441512" w:rsidRDefault="00441512" w:rsidP="00441512">
      <w:pPr>
        <w:pStyle w:val="Normlnweb"/>
      </w:pPr>
      <w:r>
        <w:rPr>
          <w:noProof/>
        </w:rPr>
        <w:drawing>
          <wp:inline distT="0" distB="0" distL="0" distR="0">
            <wp:extent cx="5753100" cy="2628900"/>
            <wp:effectExtent l="0" t="0" r="0" b="0"/>
            <wp:docPr id="10" name="Obrázek 10" descr="http://www.tsk-praha.cz/wps/wcm/connect/3e8fa080445299b792b8bb18189c0fa9/5/image5241266070080659737.jpg?MOD=AJPERES&amp;CACHEID=3e8fa080445299b792b8bb18189c0fa9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sk-praha.cz/wps/wcm/connect/3e8fa080445299b792b8bb18189c0fa9/5/image5241266070080659737.jpg?MOD=AJPERES&amp;CACHEID=3e8fa080445299b792b8bb18189c0fa9/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2" w:rsidRDefault="00441512" w:rsidP="00441512">
      <w:pPr>
        <w:pStyle w:val="Normlnweb"/>
      </w:pPr>
      <w:r>
        <w:t>Tab. 5. Alkohol zjištěn u viníka nehody</w:t>
      </w:r>
    </w:p>
    <w:p w:rsidR="00441512" w:rsidRDefault="00441512" w:rsidP="00441512">
      <w:pPr>
        <w:pStyle w:val="Normlnweb"/>
      </w:pPr>
      <w:r>
        <w:rPr>
          <w:noProof/>
        </w:rPr>
        <w:drawing>
          <wp:inline distT="0" distB="0" distL="0" distR="0">
            <wp:extent cx="5765800" cy="1276350"/>
            <wp:effectExtent l="0" t="0" r="6350" b="0"/>
            <wp:docPr id="8" name="Obrázek 8" descr="http://www.tsk-praha.cz/wps/wcm/connect/3e8fa080445299b792b8bb18189c0fa9/6/image5607845281088553264.jpg?MOD=AJPERES&amp;CACHEID=3e8fa080445299b792b8bb18189c0fa9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sk-praha.cz/wps/wcm/connect/3e8fa080445299b792b8bb18189c0fa9/6/image5607845281088553264.jpg?MOD=AJPERES&amp;CACHEID=3e8fa080445299b792b8bb18189c0fa9/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2" w:rsidRDefault="00441512" w:rsidP="00441512">
      <w:pPr>
        <w:pStyle w:val="Normlnweb"/>
      </w:pPr>
      <w:r>
        <w:t> </w:t>
      </w:r>
    </w:p>
    <w:p w:rsidR="00441512" w:rsidRDefault="00441512" w:rsidP="00441512">
      <w:pPr>
        <w:pStyle w:val="Normlnweb"/>
      </w:pPr>
      <w:r>
        <w:t>Tab. 6. Nehody podle komunikace</w:t>
      </w:r>
    </w:p>
    <w:p w:rsidR="00441512" w:rsidRDefault="00441512" w:rsidP="00441512">
      <w:pPr>
        <w:pStyle w:val="Normlnweb"/>
      </w:pPr>
      <w:r>
        <w:rPr>
          <w:noProof/>
        </w:rPr>
        <w:lastRenderedPageBreak/>
        <w:drawing>
          <wp:inline distT="0" distB="0" distL="0" distR="0">
            <wp:extent cx="5765800" cy="3473450"/>
            <wp:effectExtent l="0" t="0" r="6350" b="0"/>
            <wp:docPr id="4" name="Obrázek 4" descr="http://www.tsk-praha.cz/wps/wcm/connect/3e8fa080445299b792b8bb18189c0fa9/7/image7985916123338039619.jpg?MOD=AJPERES&amp;CACHEID=3e8fa080445299b792b8bb18189c0fa9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sk-praha.cz/wps/wcm/connect/3e8fa080445299b792b8bb18189c0fa9/7/image7985916123338039619.jpg?MOD=AJPERES&amp;CACHEID=3e8fa080445299b792b8bb18189c0fa9/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2" w:rsidRDefault="00441512" w:rsidP="00441512">
      <w:pPr>
        <w:pStyle w:val="Normlnweb"/>
      </w:pPr>
      <w:r>
        <w:t> </w:t>
      </w:r>
    </w:p>
    <w:p w:rsidR="00441512" w:rsidRDefault="00441512" w:rsidP="00441512">
      <w:pPr>
        <w:pStyle w:val="Normlnweb"/>
      </w:pPr>
      <w:r>
        <w:t>Tab. 7. Nehody na místech vybavených světelnou signalizací</w:t>
      </w:r>
    </w:p>
    <w:p w:rsidR="00441512" w:rsidRDefault="00441512" w:rsidP="00441512">
      <w:pPr>
        <w:pStyle w:val="Normlnweb"/>
      </w:pPr>
      <w:r>
        <w:rPr>
          <w:noProof/>
        </w:rPr>
        <w:drawing>
          <wp:inline distT="0" distB="0" distL="0" distR="0">
            <wp:extent cx="5772150" cy="2228850"/>
            <wp:effectExtent l="0" t="0" r="0" b="0"/>
            <wp:docPr id="2" name="Obrázek 2" descr="http://www.tsk-praha.cz/wps/wcm/connect/3e8fa080445299b792b8bb18189c0fa9/8/image2156405637520362591.jpg?MOD=AJPERES&amp;CACHEID=3e8fa080445299b792b8bb18189c0fa9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sk-praha.cz/wps/wcm/connect/3e8fa080445299b792b8bb18189c0fa9/8/image2156405637520362591.jpg?MOD=AJPERES&amp;CACHEID=3e8fa080445299b792b8bb18189c0fa9/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2" w:rsidRDefault="00441512" w:rsidP="00441512">
      <w:pPr>
        <w:pStyle w:val="Normlnweb"/>
      </w:pPr>
      <w:r>
        <w:t>Tab. 8. Nehody, motorizace a automobilizace</w:t>
      </w:r>
    </w:p>
    <w:p w:rsidR="00441512" w:rsidRDefault="00441512" w:rsidP="00441512">
      <w:pPr>
        <w:pStyle w:val="Normlnweb"/>
      </w:pPr>
      <w:r>
        <w:rPr>
          <w:noProof/>
        </w:rPr>
        <w:lastRenderedPageBreak/>
        <w:drawing>
          <wp:inline distT="0" distB="0" distL="0" distR="0">
            <wp:extent cx="5753100" cy="3454400"/>
            <wp:effectExtent l="0" t="0" r="0" b="0"/>
            <wp:docPr id="1" name="Obrázek 1" descr="http://www.tsk-praha.cz/wps/wcm/connect/3e8fa080445299b792b8bb18189c0fa9/9/image3779594774710799957.jpg?MOD=AJPERES&amp;CACHEID=3e8fa080445299b792b8bb18189c0fa9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sk-praha.cz/wps/wcm/connect/3e8fa080445299b792b8bb18189c0fa9/9/image3779594774710799957.jpg?MOD=AJPERES&amp;CACHEID=3e8fa080445299b792b8bb18189c0fa9/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2" w:rsidRDefault="00441512" w:rsidP="00441512">
      <w:pPr>
        <w:pStyle w:val="Normlnweb"/>
      </w:pPr>
      <w:r>
        <w:t>* dodávkové automobily vzaté do evidence do konce roku 1994 jsou zahrnuty v počtech osobních automobilů, dodávkové automobily vzaté do evidence od roku 1995 jsou zahrnuty v počtech nákladních automobilů</w:t>
      </w:r>
    </w:p>
    <w:p w:rsidR="00441512" w:rsidRDefault="00441512" w:rsidP="00441512">
      <w:pPr>
        <w:pStyle w:val="Normlnweb"/>
      </w:pPr>
      <w:r>
        <w:t> </w:t>
      </w:r>
    </w:p>
    <w:p w:rsidR="00441512" w:rsidRDefault="00441512" w:rsidP="00441512">
      <w:pPr>
        <w:pStyle w:val="Normlnweb"/>
      </w:pPr>
      <w:r>
        <w:t>   </w:t>
      </w:r>
    </w:p>
    <w:p w:rsidR="00441512" w:rsidRDefault="00441512" w:rsidP="00441512">
      <w:pPr>
        <w:pStyle w:val="Normlnweb"/>
      </w:pPr>
      <w:r>
        <w:t>červen 2007</w:t>
      </w:r>
    </w:p>
    <w:p w:rsidR="003160A6" w:rsidRPr="00441512" w:rsidRDefault="003160A6" w:rsidP="00441512"/>
    <w:sectPr w:rsidR="003160A6" w:rsidRPr="00441512" w:rsidSect="002B06B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70" w:rsidRDefault="00A52970" w:rsidP="007874B1">
      <w:pPr>
        <w:spacing w:after="0" w:line="240" w:lineRule="auto"/>
      </w:pPr>
      <w:r>
        <w:separator/>
      </w:r>
    </w:p>
  </w:endnote>
  <w:endnote w:type="continuationSeparator" w:id="0">
    <w:p w:rsidR="00A52970" w:rsidRDefault="00A52970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70" w:rsidRDefault="00A52970" w:rsidP="007874B1">
      <w:pPr>
        <w:spacing w:after="0" w:line="240" w:lineRule="auto"/>
      </w:pPr>
      <w:r>
        <w:separator/>
      </w:r>
    </w:p>
  </w:footnote>
  <w:footnote w:type="continuationSeparator" w:id="0">
    <w:p w:rsidR="00A52970" w:rsidRDefault="00A52970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55"/>
    <w:multiLevelType w:val="multilevel"/>
    <w:tmpl w:val="548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246"/>
    <w:multiLevelType w:val="hybridMultilevel"/>
    <w:tmpl w:val="B208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6BC8"/>
    <w:multiLevelType w:val="multilevel"/>
    <w:tmpl w:val="5AB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C719B"/>
    <w:multiLevelType w:val="multilevel"/>
    <w:tmpl w:val="2A3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3228"/>
    <w:multiLevelType w:val="multilevel"/>
    <w:tmpl w:val="DF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33248"/>
    <w:multiLevelType w:val="multilevel"/>
    <w:tmpl w:val="45C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65EC8"/>
    <w:multiLevelType w:val="multilevel"/>
    <w:tmpl w:val="CC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47147"/>
    <w:multiLevelType w:val="multilevel"/>
    <w:tmpl w:val="140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F6A0F"/>
    <w:multiLevelType w:val="multilevel"/>
    <w:tmpl w:val="1DD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C13F5"/>
    <w:multiLevelType w:val="multilevel"/>
    <w:tmpl w:val="AFC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C22A9"/>
    <w:multiLevelType w:val="multilevel"/>
    <w:tmpl w:val="B9B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B6E86"/>
    <w:multiLevelType w:val="hybridMultilevel"/>
    <w:tmpl w:val="A0C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D5303"/>
    <w:multiLevelType w:val="multilevel"/>
    <w:tmpl w:val="E59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95FAB"/>
    <w:multiLevelType w:val="multilevel"/>
    <w:tmpl w:val="E0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37E61"/>
    <w:multiLevelType w:val="multilevel"/>
    <w:tmpl w:val="4C54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9"/>
  </w:num>
  <w:num w:numId="13">
    <w:abstractNumId w:val="3"/>
  </w:num>
  <w:num w:numId="14">
    <w:abstractNumId w:val="22"/>
  </w:num>
  <w:num w:numId="15">
    <w:abstractNumId w:val="12"/>
  </w:num>
  <w:num w:numId="16">
    <w:abstractNumId w:val="14"/>
  </w:num>
  <w:num w:numId="17">
    <w:abstractNumId w:val="18"/>
  </w:num>
  <w:num w:numId="18">
    <w:abstractNumId w:val="16"/>
  </w:num>
  <w:num w:numId="19">
    <w:abstractNumId w:val="13"/>
  </w:num>
  <w:num w:numId="20">
    <w:abstractNumId w:val="10"/>
  </w:num>
  <w:num w:numId="21">
    <w:abstractNumId w:val="20"/>
  </w:num>
  <w:num w:numId="22">
    <w:abstractNumId w:val="4"/>
  </w:num>
  <w:num w:numId="23">
    <w:abstractNumId w:val="1"/>
  </w:num>
  <w:num w:numId="24">
    <w:abstractNumId w:val="15"/>
  </w:num>
  <w:num w:numId="25">
    <w:abstractNumId w:val="23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07739D"/>
    <w:rsid w:val="000B2E96"/>
    <w:rsid w:val="000E506B"/>
    <w:rsid w:val="00105F0C"/>
    <w:rsid w:val="00170221"/>
    <w:rsid w:val="00170467"/>
    <w:rsid w:val="001827C6"/>
    <w:rsid w:val="001B5F55"/>
    <w:rsid w:val="001C3557"/>
    <w:rsid w:val="001C5170"/>
    <w:rsid w:val="001D5CCF"/>
    <w:rsid w:val="001F38E6"/>
    <w:rsid w:val="001F7A30"/>
    <w:rsid w:val="0022297D"/>
    <w:rsid w:val="00237064"/>
    <w:rsid w:val="002B06BF"/>
    <w:rsid w:val="002C155D"/>
    <w:rsid w:val="002C5661"/>
    <w:rsid w:val="002D3904"/>
    <w:rsid w:val="002E483B"/>
    <w:rsid w:val="002F3478"/>
    <w:rsid w:val="003160A6"/>
    <w:rsid w:val="00323CE8"/>
    <w:rsid w:val="00333380"/>
    <w:rsid w:val="00363617"/>
    <w:rsid w:val="00384677"/>
    <w:rsid w:val="00385EE8"/>
    <w:rsid w:val="003A4754"/>
    <w:rsid w:val="003B25A4"/>
    <w:rsid w:val="003C76EB"/>
    <w:rsid w:val="003F51A6"/>
    <w:rsid w:val="00441512"/>
    <w:rsid w:val="004566C6"/>
    <w:rsid w:val="0046488A"/>
    <w:rsid w:val="004A3666"/>
    <w:rsid w:val="004C02B6"/>
    <w:rsid w:val="004C0980"/>
    <w:rsid w:val="004C21E3"/>
    <w:rsid w:val="004E1399"/>
    <w:rsid w:val="00506AB9"/>
    <w:rsid w:val="00523D7A"/>
    <w:rsid w:val="00530CD2"/>
    <w:rsid w:val="005A5537"/>
    <w:rsid w:val="005B04DE"/>
    <w:rsid w:val="006669DB"/>
    <w:rsid w:val="006819AD"/>
    <w:rsid w:val="0068506C"/>
    <w:rsid w:val="006906C1"/>
    <w:rsid w:val="006A2F94"/>
    <w:rsid w:val="006B4F8C"/>
    <w:rsid w:val="006B6469"/>
    <w:rsid w:val="006C0170"/>
    <w:rsid w:val="006E5AF9"/>
    <w:rsid w:val="006F20AB"/>
    <w:rsid w:val="007403A6"/>
    <w:rsid w:val="00781285"/>
    <w:rsid w:val="007874B1"/>
    <w:rsid w:val="007E4A9C"/>
    <w:rsid w:val="00860F5F"/>
    <w:rsid w:val="00861623"/>
    <w:rsid w:val="008B331A"/>
    <w:rsid w:val="008C3C11"/>
    <w:rsid w:val="008E4CC4"/>
    <w:rsid w:val="008F1438"/>
    <w:rsid w:val="00924F1A"/>
    <w:rsid w:val="009519F1"/>
    <w:rsid w:val="00A52970"/>
    <w:rsid w:val="00A6026E"/>
    <w:rsid w:val="00A7269D"/>
    <w:rsid w:val="00AA337B"/>
    <w:rsid w:val="00B155AE"/>
    <w:rsid w:val="00B457AF"/>
    <w:rsid w:val="00B4642D"/>
    <w:rsid w:val="00B67546"/>
    <w:rsid w:val="00B730D0"/>
    <w:rsid w:val="00B94883"/>
    <w:rsid w:val="00B94E6D"/>
    <w:rsid w:val="00BA652C"/>
    <w:rsid w:val="00BB35FB"/>
    <w:rsid w:val="00BB7477"/>
    <w:rsid w:val="00BF703D"/>
    <w:rsid w:val="00C015D8"/>
    <w:rsid w:val="00C5162A"/>
    <w:rsid w:val="00C662EA"/>
    <w:rsid w:val="00CC6D7B"/>
    <w:rsid w:val="00D666BB"/>
    <w:rsid w:val="00D73628"/>
    <w:rsid w:val="00D74153"/>
    <w:rsid w:val="00DB6318"/>
    <w:rsid w:val="00DC26B3"/>
    <w:rsid w:val="00DC57EA"/>
    <w:rsid w:val="00DF1EB4"/>
    <w:rsid w:val="00E21C26"/>
    <w:rsid w:val="00E42DA6"/>
    <w:rsid w:val="00E6098C"/>
    <w:rsid w:val="00EC70F6"/>
    <w:rsid w:val="00EE3BBF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4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6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2E483B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unhideWhenUsed/>
    <w:rsid w:val="002E48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2E48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483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7269D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646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300B-9AE5-4B3F-9E6A-29D9C1D7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Šubrt Pavel</cp:lastModifiedBy>
  <cp:revision>3</cp:revision>
  <dcterms:created xsi:type="dcterms:W3CDTF">2014-03-14T08:26:00Z</dcterms:created>
  <dcterms:modified xsi:type="dcterms:W3CDTF">2014-03-14T08:27:00Z</dcterms:modified>
</cp:coreProperties>
</file>